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rPr>
          <w:rFonts w:ascii="Times New Roman" w:hAnsi="Times New Roman" w:eastAsia="黑体" w:cs="黑体"/>
          <w:spacing w:val="0"/>
        </w:rPr>
      </w:pPr>
      <w:bookmarkStart w:id="3" w:name="_GoBack"/>
      <w:bookmarkEnd w:id="3"/>
      <w:r>
        <w:rPr>
          <w:rFonts w:ascii="Times New Roman" w:hAnsi="Times New Roman" w:eastAsia="黑体" w:cs="黑体"/>
          <w:spacing w:val="0"/>
        </w:rPr>
        <w:t>附件</w:t>
      </w:r>
      <w:r>
        <w:rPr>
          <w:rFonts w:hint="eastAsia" w:ascii="Times New Roman" w:hAnsi="Times New Roman" w:eastAsia="黑体" w:cs="黑体"/>
          <w:spacing w:val="0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“深圳工匠杯”</w:t>
      </w:r>
      <w:r>
        <w:rPr>
          <w:rFonts w:hint="eastAsia" w:ascii="Times New Roman" w:hAnsi="Times New Roman" w:eastAsia="方正小标宋简体"/>
          <w:spacing w:val="-11"/>
          <w:sz w:val="44"/>
          <w:szCs w:val="44"/>
        </w:rPr>
        <w:t>深圳市第十四届职工技术创新运动会暨2024年深圳技能大赛</w:t>
      </w:r>
      <w:r>
        <w:rPr>
          <w:rFonts w:ascii="Times New Roman" w:hAnsi="Times New Roman" w:eastAsia="方正小标宋简体"/>
          <w:sz w:val="44"/>
          <w:szCs w:val="44"/>
        </w:rPr>
        <w:t>——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可编程序控制系统设计师</w:t>
      </w:r>
      <w:r>
        <w:rPr>
          <w:rFonts w:ascii="Times New Roman" w:hAnsi="Times New Roman" w:eastAsia="方正小标宋简体"/>
          <w:sz w:val="44"/>
          <w:szCs w:val="44"/>
        </w:rPr>
        <w:t>技能竞赛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40" w:lineRule="exact"/>
        <w:jc w:val="center"/>
        <w:rPr>
          <w:rFonts w:ascii="Times New Roman" w:hAnsi="Times New Roman"/>
        </w:rPr>
      </w:pPr>
      <w:r>
        <w:rPr>
          <w:rFonts w:ascii="Times New Roman" w:hAnsi="Times New Roman" w:eastAsia="方正小标宋简体"/>
          <w:sz w:val="44"/>
          <w:szCs w:val="44"/>
        </w:rPr>
        <w:t>技术方案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一、竞赛项目及内容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（一）竞赛项目概要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704"/>
        <w:jc w:val="left"/>
        <w:rPr>
          <w:rFonts w:ascii="Times New Roman" w:hAnsi="Times New Roman"/>
          <w:color w:val="FF0000"/>
          <w:spacing w:val="0"/>
        </w:rPr>
      </w:pPr>
      <w:r>
        <w:rPr>
          <w:rFonts w:ascii="Times New Roman" w:hAnsi="Times New Roman"/>
          <w:spacing w:val="0"/>
        </w:rPr>
        <w:t>可编程序控制系统设计师是指从事可编程序控制器(PLC) 选型、编程，并对应用系统进行设计、集成和运行管理的人员。比赛中对选手的技能要求主要包括：系统设计、硬件配置、程序设计、系统调试、运行管理、职业素养等。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after="0"/>
        <w:ind w:firstLine="680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竞赛标准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704" w:firstLineChars="200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以</w:t>
      </w:r>
      <w:r>
        <w:rPr>
          <w:rFonts w:hint="eastAsia" w:ascii="Times New Roman" w:hAnsi="Times New Roman"/>
          <w:spacing w:val="0"/>
        </w:rPr>
        <w:t>《</w:t>
      </w:r>
      <w:r>
        <w:rPr>
          <w:rFonts w:ascii="Times New Roman" w:hAnsi="Times New Roman"/>
          <w:spacing w:val="0"/>
        </w:rPr>
        <w:t>可编程序控制系统设计师国家职业技能标准</w:t>
      </w:r>
      <w:r>
        <w:rPr>
          <w:rFonts w:hint="eastAsia" w:ascii="Times New Roman" w:hAnsi="Times New Roman"/>
          <w:spacing w:val="0"/>
        </w:rPr>
        <w:t>》高级工（</w:t>
      </w:r>
      <w:r>
        <w:rPr>
          <w:rFonts w:ascii="Times New Roman" w:hAnsi="Times New Roman"/>
          <w:spacing w:val="0"/>
        </w:rPr>
        <w:t>国家职业资格三级</w:t>
      </w:r>
      <w:r>
        <w:rPr>
          <w:rFonts w:hint="eastAsia" w:ascii="Times New Roman" w:hAnsi="Times New Roman"/>
          <w:spacing w:val="0"/>
        </w:rPr>
        <w:t>）</w:t>
      </w:r>
      <w:r>
        <w:rPr>
          <w:rFonts w:ascii="Times New Roman" w:hAnsi="Times New Roman"/>
          <w:spacing w:val="0"/>
        </w:rPr>
        <w:t>为基础，结合实际适当增加新知识、新技术、新设备、新技能等相关内容，由执委会统一组织命题。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（三）竞赛方式与内容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本次竞赛分为初赛和决赛，其中初赛为理论知识竞赛，决赛为</w:t>
      </w:r>
      <w:r>
        <w:rPr>
          <w:rFonts w:ascii="Times New Roman" w:hAnsi="Times New Roman"/>
          <w:szCs w:val="32"/>
        </w:rPr>
        <w:t>实际操作竞赛</w:t>
      </w:r>
      <w:r>
        <w:rPr>
          <w:rFonts w:ascii="Times New Roman" w:hAnsi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8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1.初赛以理论知识竞赛方式进行，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时间共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60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分钟，满分为100分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</w:rPr>
        <w:t>使用计算机上机作答形式进行考核。执委会组织专家参照竞赛</w:t>
      </w:r>
      <w:r>
        <w:rPr>
          <w:rFonts w:hint="eastAsia" w:ascii="Times New Roman" w:hAnsi="Times New Roman"/>
        </w:rPr>
        <w:t>标准编制理论题库，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rFonts w:hint="eastAsia"/>
          <w:color w:val="auto"/>
          <w:lang w:eastAsia="zh-CN"/>
        </w:rPr>
        <w:t>“</w:t>
      </w:r>
      <w:r>
        <w:rPr>
          <w:rFonts w:hint="eastAsia"/>
          <w:color w:val="auto"/>
          <w:spacing w:val="0"/>
        </w:rPr>
        <w:t>深圳智慧工会会员服务平台-竞赛报名-</w:t>
      </w:r>
      <w:r>
        <w:rPr>
          <w:rFonts w:hint="eastAsia"/>
          <w:color w:val="auto"/>
        </w:rPr>
        <w:t>技能竞赛总览-</w:t>
      </w:r>
      <w:r>
        <w:rPr>
          <w:rFonts w:hint="eastAsia"/>
          <w:color w:val="auto"/>
          <w:lang w:val="en-US" w:eastAsia="zh-CN"/>
        </w:rPr>
        <w:t>初赛题库</w:t>
      </w:r>
      <w:r>
        <w:rPr>
          <w:rFonts w:hint="eastAsia"/>
          <w:color w:val="auto"/>
        </w:rPr>
        <w:t>”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处公布。</w:t>
      </w:r>
      <w:r>
        <w:rPr>
          <w:rFonts w:hint="eastAsia" w:ascii="Times New Roman" w:hAnsi="Times New Roman"/>
        </w:rPr>
        <w:t>执委会按竞赛范围，从题库中随机抽取70道赛题，现场编制20道赛题</w:t>
      </w:r>
      <w:r>
        <w:rPr>
          <w:rFonts w:ascii="Times New Roman" w:hAnsi="Times New Roman"/>
        </w:rPr>
        <w:t>（单选题10道、多选题3道、判断题7道）</w:t>
      </w:r>
      <w:r>
        <w:rPr>
          <w:rFonts w:hint="eastAsia" w:ascii="Times New Roman" w:hAnsi="Times New Roman"/>
        </w:rPr>
        <w:t>，组成90道正式赛题。</w:t>
      </w:r>
      <w:r>
        <w:rPr>
          <w:rFonts w:ascii="Times New Roman" w:hAnsi="Times New Roman"/>
        </w:rPr>
        <w:t>竞赛范围如下：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6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竞赛范围</w:t>
            </w:r>
          </w:p>
        </w:tc>
        <w:tc>
          <w:tcPr>
            <w:tcW w:w="3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520708908"/>
            <w:r>
              <w:rPr>
                <w:rFonts w:ascii="Times New Roman" w:hAnsi="Times New Roman"/>
                <w:sz w:val="24"/>
                <w:szCs w:val="24"/>
              </w:rPr>
              <w:t>基础知识</w:t>
            </w:r>
            <w:bookmarkEnd w:id="0"/>
          </w:p>
        </w:tc>
        <w:tc>
          <w:tcPr>
            <w:tcW w:w="3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1.职业道德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职业守则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2.电工与电子技术基础知识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3.电气控制系统基础知识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4.计算机应用基础知识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专业知识</w:t>
            </w:r>
          </w:p>
        </w:tc>
        <w:tc>
          <w:tcPr>
            <w:tcW w:w="3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1.自动生产线控制技术及应用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2.过程控制技术及应用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3.运动控制技术及应用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4.PLC网络技术及应用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5.人机界面技术及应用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6.现代变频调速技术及应用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7.现代传感器技术与应用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hint="eastAsia" w:ascii="Times New Roman" w:hAnsi="Times New Roman"/>
                <w:sz w:val="24"/>
                <w:szCs w:val="24"/>
              </w:rPr>
              <w:t>气动控制技术</w:t>
            </w:r>
            <w:r>
              <w:rPr>
                <w:rFonts w:ascii="Times New Roman" w:hAnsi="Times New Roman"/>
                <w:sz w:val="24"/>
                <w:szCs w:val="24"/>
              </w:rPr>
              <w:t>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.控制系统设计、调试与运行维护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2.决赛以实际操作竞赛方式进行</w:t>
      </w:r>
      <w:r>
        <w:rPr>
          <w:rFonts w:ascii="Times New Roman" w:hAnsi="Times New Roman"/>
        </w:rPr>
        <w:t>。</w:t>
      </w:r>
      <w:r>
        <w:rPr>
          <w:rFonts w:ascii="Times New Roman" w:hAnsi="Times New Roman"/>
          <w:szCs w:val="32"/>
        </w:rPr>
        <w:t>时间共</w:t>
      </w:r>
      <w:r>
        <w:rPr>
          <w:rFonts w:hint="eastAsia" w:ascii="Times New Roman" w:hAnsi="Times New Roman"/>
        </w:rPr>
        <w:t>360</w:t>
      </w:r>
      <w:r>
        <w:rPr>
          <w:rFonts w:ascii="Times New Roman" w:hAnsi="Times New Roman"/>
          <w:szCs w:val="32"/>
        </w:rPr>
        <w:t>分钟，满分为</w:t>
      </w:r>
      <w:r>
        <w:rPr>
          <w:rFonts w:ascii="Times New Roman" w:hAnsi="Times New Roman"/>
        </w:rPr>
        <w:t>100</w:t>
      </w:r>
      <w:r>
        <w:rPr>
          <w:rFonts w:ascii="Times New Roman" w:hAnsi="Times New Roman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由竞赛执委会组织专家参照竞赛标准命题，选手</w:t>
      </w:r>
      <w:r>
        <w:rPr>
          <w:rFonts w:hint="eastAsia" w:ascii="Times New Roman" w:hAnsi="Times New Roman"/>
          <w:szCs w:val="32"/>
        </w:rPr>
        <w:t>根据</w:t>
      </w:r>
      <w:r>
        <w:rPr>
          <w:rFonts w:ascii="Times New Roman" w:hAnsi="Times New Roman"/>
          <w:szCs w:val="32"/>
        </w:rPr>
        <w:t>赛场提供的实操任务书</w:t>
      </w:r>
      <w:r>
        <w:rPr>
          <w:rFonts w:hint="eastAsia" w:ascii="Times New Roman" w:hAnsi="Times New Roman"/>
          <w:szCs w:val="32"/>
        </w:rPr>
        <w:t>，</w:t>
      </w:r>
      <w:r>
        <w:rPr>
          <w:rFonts w:ascii="Times New Roman" w:hAnsi="Times New Roman"/>
          <w:szCs w:val="32"/>
        </w:rPr>
        <w:t>以现场实际操作的方式进行</w:t>
      </w:r>
      <w:r>
        <w:rPr>
          <w:rFonts w:hint="eastAsia" w:ascii="Times New Roman" w:hAnsi="Times New Roman"/>
          <w:szCs w:val="32"/>
        </w:rPr>
        <w:t>比赛</w:t>
      </w:r>
      <w:r>
        <w:rPr>
          <w:rFonts w:ascii="Times New Roman" w:hAnsi="Times New Roman"/>
          <w:szCs w:val="32"/>
        </w:rPr>
        <w:t>。</w:t>
      </w:r>
      <w:r>
        <w:rPr>
          <w:rFonts w:hint="eastAsia" w:ascii="Times New Roman" w:hAnsi="Times New Roman"/>
          <w:szCs w:val="32"/>
        </w:rPr>
        <w:t>选手需</w:t>
      </w:r>
      <w:r>
        <w:rPr>
          <w:rFonts w:ascii="Times New Roman" w:hAnsi="Times New Roman"/>
          <w:szCs w:val="32"/>
        </w:rPr>
        <w:t>现场完成</w:t>
      </w:r>
      <w:r>
        <w:rPr>
          <w:rFonts w:hint="eastAsia" w:ascii="Times New Roman" w:hAnsi="Times New Roman"/>
        </w:rPr>
        <w:t>3</w:t>
      </w:r>
      <w:r>
        <w:rPr>
          <w:rFonts w:ascii="Times New Roman" w:hAnsi="Times New Roman"/>
          <w:szCs w:val="32"/>
        </w:rPr>
        <w:t>个项目的实际操作，具体内容如下：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5994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竞赛项目</w:t>
            </w:r>
          </w:p>
        </w:tc>
        <w:tc>
          <w:tcPr>
            <w:tcW w:w="33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具体内容</w:t>
            </w: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  <w:jc w:val="center"/>
        </w:trPr>
        <w:tc>
          <w:tcPr>
            <w:tcW w:w="915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自动生产线控制技术</w:t>
            </w:r>
          </w:p>
        </w:tc>
        <w:tc>
          <w:tcPr>
            <w:tcW w:w="33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1.能根据工艺要求分配PLC内部资源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2.能根据控制要求设计系统方案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3.能根据任务书要求配置硬件设备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4.能根据任务书要求绘制人机界面画面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5.能使用编程工具编写自动生产线程序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6.能根据工艺要求完成PLC外部电路的设计与接线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7.能根据工艺要求设置步进控制相关参数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8.能根据任务书要求完成自动生产线调试</w:t>
            </w: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>
              <w:rPr>
                <w:rFonts w:hint="eastAsia" w:ascii="Times New Roman" w:hAnsi="Times New Roman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9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二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过程控制技术</w:t>
            </w:r>
          </w:p>
        </w:tc>
        <w:tc>
          <w:tcPr>
            <w:tcW w:w="33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1.能根据工艺要求分配PLC内部资源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2.能根据控制要求设计系统方案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3.能根据任务书要求配置硬件设备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4.能根据任务书要求绘制人机界面画面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5.能使用编程工具编写过程PID控制程序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6.能根据工艺要求完成PLC外部电路的设计与接线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7.能根据工艺要求设置变频器、PID控制相关参数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8.能根据任务书要求完成过程控制系统调试</w:t>
            </w: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>
              <w:rPr>
                <w:rFonts w:hint="eastAsia" w:ascii="Times New Roman" w:hAnsi="Times New Roman"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三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运动控制技术</w:t>
            </w:r>
          </w:p>
        </w:tc>
        <w:tc>
          <w:tcPr>
            <w:tcW w:w="33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1.能根据工艺要求分配PLC内部资源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2.能根据控制要求设计系统方案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3.能根据任务书要求配置硬件设备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4.能根据任务书要求绘制人机界面画面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5.能使用编程工具编写运动控制程序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6.能根据工艺要求完成PLC外部电路的设计与接线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7.能根据工艺要求设置变频器、伺服控制相关参数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8.能根据任务书要求完成运动控制系统调试</w:t>
            </w: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/>
                <w:sz w:val="24"/>
                <w:szCs w:val="24"/>
              </w:rPr>
              <w:t>0分钟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 w:eastAsia="黑体"/>
          <w:bCs/>
        </w:rPr>
      </w:pPr>
      <w:r>
        <w:rPr>
          <w:rFonts w:ascii="Times New Roman" w:hAnsi="Times New Roman" w:eastAsia="黑体"/>
          <w:bCs/>
        </w:rPr>
        <w:t>二、竞赛评分标准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（一）初赛评分标准</w:t>
      </w:r>
    </w:p>
    <w:p>
      <w:pPr>
        <w:pStyle w:val="2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40"/>
        <w:rPr>
          <w:rFonts w:ascii="Times New Roman" w:hAnsi="Times New Roman" w:eastAsia="仿宋_GB2312" w:cs="Times New Roman"/>
          <w:color w:val="auto"/>
          <w:spacing w:val="-6"/>
          <w:kern w:val="1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6"/>
          <w:sz w:val="32"/>
          <w:szCs w:val="20"/>
        </w:rPr>
        <w:t>题型为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20"/>
        </w:rPr>
        <w:t>单选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20"/>
        </w:rPr>
        <w:t>题、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20"/>
        </w:rPr>
        <w:t>多选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20"/>
        </w:rPr>
        <w:t>题、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20"/>
        </w:rPr>
        <w:t>判断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20"/>
        </w:rPr>
        <w:t>题；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20"/>
        </w:rPr>
        <w:t>单选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20"/>
        </w:rPr>
        <w:t>题共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20"/>
        </w:rPr>
        <w:t>50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20"/>
        </w:rPr>
        <w:t>题，每题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20"/>
        </w:rPr>
        <w:t>1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20"/>
        </w:rPr>
        <w:t>分；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20"/>
        </w:rPr>
        <w:t>多选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20"/>
        </w:rPr>
        <w:t>题共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20"/>
        </w:rPr>
        <w:t>10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20"/>
        </w:rPr>
        <w:t>题，每题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20"/>
        </w:rPr>
        <w:t>2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20"/>
        </w:rPr>
        <w:t>分；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20"/>
        </w:rPr>
        <w:t>判断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20"/>
        </w:rPr>
        <w:t>题共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20"/>
        </w:rPr>
        <w:t>30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20"/>
        </w:rPr>
        <w:t>题，每题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20"/>
        </w:rPr>
        <w:t>1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20"/>
        </w:rPr>
        <w:t>分；各题型错选、多选或少选均不得分。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（二）决赛评分标准</w:t>
      </w:r>
    </w:p>
    <w:tbl>
      <w:tblPr>
        <w:tblStyle w:val="1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5159"/>
        <w:gridCol w:w="1212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竞赛项目</w:t>
            </w:r>
          </w:p>
        </w:tc>
        <w:tc>
          <w:tcPr>
            <w:tcW w:w="2848" w:type="pc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评分标准</w:t>
            </w:r>
          </w:p>
        </w:tc>
        <w:tc>
          <w:tcPr>
            <w:tcW w:w="669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分值</w:t>
            </w:r>
          </w:p>
        </w:tc>
        <w:tc>
          <w:tcPr>
            <w:tcW w:w="669" w:type="pc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自动生产线控制技术</w:t>
            </w:r>
          </w:p>
        </w:tc>
        <w:tc>
          <w:tcPr>
            <w:tcW w:w="2848" w:type="pc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1.I/O分配及接线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pc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2.触摸屏画面设计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pc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3.程序设计与调试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pc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4.系统功能（手动操作、自动运行、回原点、停止、急停等模式及功能）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pc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5.系统稳定性（系统运行流畅</w:t>
            </w:r>
            <w:r>
              <w:rPr>
                <w:rFonts w:hint="eastAsia" w:ascii="Times New Roman" w:hAnsi="Times New Roman" w:eastAsia="仿宋_GB2312"/>
                <w:spacing w:val="-6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动作协调</w:t>
            </w:r>
            <w:r>
              <w:rPr>
                <w:rFonts w:hint="eastAsia" w:ascii="Times New Roman" w:hAnsi="Times New Roman" w:eastAsia="仿宋_GB2312"/>
                <w:spacing w:val="-6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无碰撞</w:t>
            </w:r>
            <w:r>
              <w:rPr>
                <w:rFonts w:hint="eastAsia" w:ascii="Times New Roman" w:hAnsi="Times New Roman" w:eastAsia="仿宋_GB2312"/>
                <w:spacing w:val="-6"/>
                <w:sz w:val="24"/>
                <w:szCs w:val="24"/>
              </w:rPr>
              <w:t>、定位</w:t>
            </w: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精准、系统响应及时等）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二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过程控制技术</w:t>
            </w:r>
          </w:p>
        </w:tc>
        <w:tc>
          <w:tcPr>
            <w:tcW w:w="2848" w:type="pc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1.系统接线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48" w:type="pc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2.触摸屏画面设计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48" w:type="pc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3.程序设计与调试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48" w:type="pc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4.系统功能（手动操作、自动运行、调节、停止、急停等模式及功能）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48" w:type="pc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5.系统稳定性（系统运行流畅</w:t>
            </w:r>
            <w:r>
              <w:rPr>
                <w:rFonts w:hint="eastAsia" w:ascii="Times New Roman" w:hAnsi="Times New Roman" w:eastAsia="仿宋_GB2312"/>
                <w:spacing w:val="-6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液位精准</w:t>
            </w:r>
            <w:r>
              <w:rPr>
                <w:rFonts w:hint="eastAsia" w:ascii="Times New Roman" w:hAnsi="Times New Roman" w:eastAsia="仿宋_GB2312"/>
                <w:spacing w:val="-6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参数设置合理、系统响应及时等）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三</w:t>
            </w:r>
            <w:r>
              <w:rPr>
                <w:rFonts w:hint="eastAsia" w:ascii="Times New Roman" w:hAnsi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运动控制技术</w:t>
            </w:r>
          </w:p>
        </w:tc>
        <w:tc>
          <w:tcPr>
            <w:tcW w:w="2848" w:type="pc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1.系统接线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48" w:type="pc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2.触摸屏画面设计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48" w:type="pc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3.程序设计与调试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48" w:type="pc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4.系统功能（手动操作、自动运行、回原点、通讯功能、停止、急停等模式及功能）</w:t>
            </w: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48" w:type="pct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5.系统稳定性（系统运行流畅</w:t>
            </w:r>
            <w:r>
              <w:rPr>
                <w:rFonts w:hint="eastAsia" w:ascii="Times New Roman" w:hAnsi="Times New Roman" w:eastAsia="仿宋_GB2312"/>
                <w:spacing w:val="-6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通讯稳定</w:t>
            </w:r>
            <w:r>
              <w:rPr>
                <w:rFonts w:hint="eastAsia" w:ascii="Times New Roman" w:hAnsi="Times New Roman" w:eastAsia="仿宋_GB2312"/>
                <w:spacing w:val="-6"/>
                <w:sz w:val="24"/>
                <w:szCs w:val="24"/>
              </w:rPr>
              <w:t>、定位</w:t>
            </w: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精准</w:t>
            </w:r>
            <w:r>
              <w:rPr>
                <w:rFonts w:hint="eastAsia" w:ascii="Times New Roman" w:hAnsi="Times New Roman" w:eastAsia="仿宋_GB2312"/>
                <w:spacing w:val="-6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参数设置合理、系统响应及时等）</w:t>
            </w:r>
          </w:p>
        </w:tc>
        <w:tc>
          <w:tcPr>
            <w:tcW w:w="669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扣分项（从各项目得分中扣除）</w:t>
            </w:r>
          </w:p>
        </w:tc>
        <w:tc>
          <w:tcPr>
            <w:tcW w:w="28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1.不符合下列要求的每项扣1分：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（1）器材、器件未安装前应摆放规整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（2）器材、器件、导线等处理规范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（3）工具、仪器、仪表应规范使用，不乱摆放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eastAsia="仿宋_GB2312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  <w:szCs w:val="24"/>
              </w:rPr>
              <w:t>2.违反安全操作规定或损坏设备，视情况扣10～50分，严重者取消竞赛资格</w:t>
            </w:r>
          </w:p>
        </w:tc>
        <w:tc>
          <w:tcPr>
            <w:tcW w:w="66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66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80" w:firstLineChars="200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  <w:szCs w:val="32"/>
        </w:rPr>
        <w:t>注：评分细则以现场评分表为准。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三、成绩评定办法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（一）参赛选手的成绩由竞赛</w:t>
      </w:r>
      <w:r>
        <w:rPr>
          <w:rFonts w:hint="eastAsia" w:ascii="Times New Roman" w:hAnsi="Times New Roman"/>
          <w:szCs w:val="32"/>
        </w:rPr>
        <w:t>裁判</w:t>
      </w:r>
      <w:r>
        <w:rPr>
          <w:rFonts w:ascii="Times New Roman" w:hAnsi="Times New Roman"/>
          <w:szCs w:val="32"/>
        </w:rPr>
        <w:t>组负责评定。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（二）初赛理论知识竞赛由计算机自动判分；决赛实际操作竞赛由现场</w:t>
      </w:r>
      <w:r>
        <w:rPr>
          <w:rFonts w:hint="eastAsia" w:ascii="Times New Roman" w:hAnsi="Times New Roman"/>
          <w:szCs w:val="32"/>
        </w:rPr>
        <w:t>裁判</w:t>
      </w:r>
      <w:r>
        <w:rPr>
          <w:rFonts w:ascii="Times New Roman" w:hAnsi="Times New Roman"/>
          <w:szCs w:val="32"/>
        </w:rPr>
        <w:t>组依据参赛选手的实际操作情况</w:t>
      </w:r>
      <w:r>
        <w:rPr>
          <w:rFonts w:hint="eastAsia" w:ascii="Times New Roman" w:hAnsi="Times New Roman"/>
          <w:szCs w:val="32"/>
        </w:rPr>
        <w:t>，</w:t>
      </w:r>
      <w:r>
        <w:rPr>
          <w:rFonts w:ascii="Times New Roman" w:hAnsi="Times New Roman"/>
          <w:szCs w:val="32"/>
        </w:rPr>
        <w:t>按竞赛评分表集体评判、计分。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680" w:firstLineChars="200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Cs w:val="32"/>
        </w:rPr>
        <w:t>（三）</w:t>
      </w:r>
      <w:r>
        <w:rPr>
          <w:rFonts w:ascii="Times New Roman" w:hAnsi="Times New Roman"/>
        </w:rPr>
        <w:t>初赛成绩由高到低进行排名，取前</w:t>
      </w:r>
      <w:r>
        <w:rPr>
          <w:rFonts w:hint="eastAsia" w:ascii="Times New Roman" w:hAnsi="Times New Roman"/>
        </w:rPr>
        <w:t>60</w:t>
      </w:r>
      <w:r>
        <w:rPr>
          <w:rFonts w:ascii="Times New Roman" w:hAnsi="Times New Roman"/>
        </w:rPr>
        <w:t>名选手进入决赛</w:t>
      </w:r>
      <w:bookmarkStart w:id="1" w:name="_Hlk143349348"/>
      <w:r>
        <w:rPr>
          <w:rFonts w:hint="eastAsia" w:ascii="Times New Roman" w:hAnsi="Times New Roman"/>
        </w:rPr>
        <w:t>。</w:t>
      </w:r>
      <w:r>
        <w:rPr>
          <w:rFonts w:ascii="Times New Roman" w:hAnsi="Times New Roman"/>
          <w:spacing w:val="0"/>
        </w:rPr>
        <w:t>当初赛</w:t>
      </w:r>
      <w:r>
        <w:rPr>
          <w:rFonts w:hint="eastAsia" w:ascii="Times New Roman" w:hAnsi="Times New Roman"/>
          <w:spacing w:val="0"/>
        </w:rPr>
        <w:t>选手</w:t>
      </w:r>
      <w:r>
        <w:rPr>
          <w:rFonts w:ascii="Times New Roman" w:hAnsi="Times New Roman"/>
          <w:spacing w:val="0"/>
        </w:rPr>
        <w:t>成绩相同时，以初赛用时短者名次在前。</w:t>
      </w:r>
      <w:bookmarkEnd w:id="1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color w:val="FF0000"/>
          <w:szCs w:val="32"/>
        </w:rPr>
      </w:pPr>
      <w:r>
        <w:rPr>
          <w:rFonts w:ascii="Times New Roman" w:hAnsi="Times New Roman"/>
          <w:szCs w:val="32"/>
        </w:rPr>
        <w:t>（四）参赛选手最终名次</w:t>
      </w:r>
      <w:r>
        <w:rPr>
          <w:rFonts w:ascii="Times New Roman" w:hAnsi="Times New Roman"/>
          <w:u w:color="000000"/>
        </w:rPr>
        <w:t>依据初赛和决赛两部分成绩按比例累加的综合成绩进行排名。其中初赛成绩占</w:t>
      </w:r>
      <w:r>
        <w:rPr>
          <w:rFonts w:hint="eastAsia" w:ascii="Times New Roman" w:hAnsi="Times New Roman"/>
          <w:u w:color="000000"/>
        </w:rPr>
        <w:t>30</w:t>
      </w:r>
      <w:r>
        <w:rPr>
          <w:rFonts w:ascii="Times New Roman" w:hAnsi="Times New Roman"/>
          <w:u w:color="000000"/>
        </w:rPr>
        <w:t>%、决赛成绩占</w:t>
      </w:r>
      <w:r>
        <w:rPr>
          <w:rFonts w:hint="eastAsia" w:ascii="Times New Roman" w:hAnsi="Times New Roman"/>
          <w:u w:color="000000"/>
        </w:rPr>
        <w:t>70</w:t>
      </w:r>
      <w:r>
        <w:rPr>
          <w:rFonts w:ascii="Times New Roman" w:hAnsi="Times New Roman"/>
          <w:u w:color="000000"/>
        </w:rPr>
        <w:t>%，参赛选手赛后综合成绩=初赛成绩*</w:t>
      </w:r>
      <w:r>
        <w:rPr>
          <w:rFonts w:hint="eastAsia" w:ascii="Times New Roman" w:hAnsi="Times New Roman"/>
          <w:u w:color="000000"/>
        </w:rPr>
        <w:t>30</w:t>
      </w:r>
      <w:r>
        <w:rPr>
          <w:rFonts w:ascii="Times New Roman" w:hAnsi="Times New Roman"/>
          <w:u w:color="000000"/>
        </w:rPr>
        <w:t>%+决赛成绩*</w:t>
      </w:r>
      <w:r>
        <w:rPr>
          <w:rFonts w:hint="eastAsia" w:ascii="Times New Roman" w:hAnsi="Times New Roman"/>
          <w:u w:color="000000"/>
        </w:rPr>
        <w:t>70</w:t>
      </w:r>
      <w:r>
        <w:rPr>
          <w:rFonts w:ascii="Times New Roman" w:hAnsi="Times New Roman"/>
          <w:u w:color="000000"/>
        </w:rPr>
        <w:t>%。当综合成绩相同时，以决赛成绩高者名次在前。</w:t>
      </w:r>
      <w:r>
        <w:rPr>
          <w:rFonts w:hint="eastAsia" w:ascii="Times New Roman" w:hAnsi="Times New Roman"/>
          <w:u w:color="000000"/>
        </w:rPr>
        <w:t>如仍相同，以决赛用时短者名次在前。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240" w:lineRule="auto"/>
        <w:ind w:firstLine="680" w:firstLineChars="200"/>
        <w:jc w:val="left"/>
        <w:rPr>
          <w:rFonts w:ascii="Times New Roman" w:hAnsi="Times New Roman" w:eastAsia="黑体"/>
          <w:bCs/>
          <w:color w:val="000000"/>
        </w:rPr>
      </w:pPr>
      <w:r>
        <w:rPr>
          <w:rFonts w:ascii="Times New Roman" w:hAnsi="Times New Roman" w:eastAsia="黑体"/>
          <w:bCs/>
          <w:color w:val="000000"/>
        </w:rPr>
        <w:t>四、竞赛场地与设备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（一）竞赛场地工位图</w:t>
      </w:r>
    </w:p>
    <w:p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240" w:lineRule="auto"/>
        <w:ind w:firstLine="680"/>
        <w:rPr>
          <w:rFonts w:ascii="Times New Roman" w:hAnsi="Times New Roman"/>
        </w:rPr>
      </w:pPr>
      <w:r>
        <w:rPr>
          <w:rFonts w:ascii="Times New Roman" w:hAnsi="Times New Roman"/>
        </w:rPr>
        <w:t>1.初赛</w:t>
      </w:r>
    </w:p>
    <w:p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240" w:lineRule="auto"/>
        <w:ind w:firstLine="680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  <w:szCs w:val="32"/>
        </w:rPr>
        <w:t>参照计算机类工种职业技能鉴定要求布置赛场，配备与参赛人数相适应的座椅，保证单人单座并留有一定数量的备用座椅，初赛赛场</w:t>
      </w:r>
      <w:r>
        <w:rPr>
          <w:rFonts w:hint="eastAsia" w:ascii="Times New Roman" w:hAnsi="Times New Roman"/>
        </w:rPr>
        <w:t>布置如图1所示。</w:t>
      </w:r>
    </w:p>
    <w:p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240" w:lineRule="auto"/>
        <w:ind w:firstLine="6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3928110" cy="2730500"/>
            <wp:effectExtent l="0" t="0" r="15240" b="12700"/>
            <wp:docPr id="257185445" name="图片 3" descr="b1f58d4a60e5715464231a055517a8a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85445" name="图片 3" descr="b1f58d4a60e5715464231a055517a8a1_"/>
                    <pic:cNvPicPr>
                      <a:picLocks noChangeAspect="1"/>
                    </pic:cNvPicPr>
                  </pic:nvPicPr>
                  <pic:blipFill>
                    <a:blip r:embed="rId9"/>
                    <a:srcRect t="49889" r="49027"/>
                    <a:stretch>
                      <a:fillRect/>
                    </a:stretch>
                  </pic:blipFill>
                  <pic:spPr>
                    <a:xfrm>
                      <a:off x="0" y="0"/>
                      <a:ext cx="392811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240" w:lineRule="auto"/>
        <w:ind w:firstLine="680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图1 </w:t>
      </w:r>
      <w:r>
        <w:rPr>
          <w:rFonts w:hint="eastAsia" w:ascii="Times New Roman" w:hAnsi="Times New Roman"/>
          <w:szCs w:val="32"/>
        </w:rPr>
        <w:t>初赛赛场</w:t>
      </w:r>
      <w:r>
        <w:rPr>
          <w:rFonts w:hint="eastAsia" w:ascii="Times New Roman" w:hAnsi="Times New Roman"/>
        </w:rPr>
        <w:t>布置</w:t>
      </w:r>
    </w:p>
    <w:p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240" w:lineRule="auto"/>
        <w:ind w:firstLine="680"/>
        <w:rPr>
          <w:rFonts w:ascii="Times New Roman" w:hAnsi="Times New Roman"/>
        </w:rPr>
      </w:pPr>
      <w:r>
        <w:rPr>
          <w:rFonts w:ascii="Times New Roman" w:hAnsi="Times New Roman"/>
        </w:rPr>
        <w:t>2.决赛</w:t>
      </w:r>
    </w:p>
    <w:p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240" w:lineRule="auto"/>
        <w:ind w:firstLine="680"/>
        <w:rPr>
          <w:rFonts w:ascii="Times New Roman" w:hAnsi="Times New Roman"/>
          <w:szCs w:val="32"/>
        </w:rPr>
      </w:pPr>
      <w:r>
        <w:rPr>
          <w:rFonts w:hint="eastAsia" w:ascii="Times New Roman" w:hAnsi="Times New Roman" w:cs="仿宋_GB2312"/>
          <w:szCs w:val="32"/>
        </w:rPr>
        <w:t>赛场共有</w:t>
      </w:r>
      <w:r>
        <w:rPr>
          <w:rFonts w:ascii="Times New Roman" w:hAnsi="Times New Roman" w:cs="仿宋_GB2312"/>
          <w:szCs w:val="32"/>
        </w:rPr>
        <w:t>66</w:t>
      </w:r>
      <w:r>
        <w:rPr>
          <w:rFonts w:hint="eastAsia" w:ascii="Times New Roman" w:hAnsi="Times New Roman" w:cs="仿宋_GB2312"/>
          <w:szCs w:val="32"/>
        </w:rPr>
        <w:t>套竞赛设备，其中，项目一的自动生产线控制技术竞赛设备22套，项目二的过程控制技术竞赛设备22套，项目三的运动控制技术竞赛设备2</w:t>
      </w:r>
      <w:r>
        <w:rPr>
          <w:rFonts w:ascii="Times New Roman" w:hAnsi="Times New Roman" w:cs="仿宋_GB2312"/>
          <w:szCs w:val="32"/>
        </w:rPr>
        <w:t>2</w:t>
      </w:r>
      <w:r>
        <w:rPr>
          <w:rFonts w:hint="eastAsia" w:ascii="Times New Roman" w:hAnsi="Times New Roman" w:cs="仿宋_GB2312"/>
          <w:szCs w:val="32"/>
        </w:rPr>
        <w:t>套，竞赛选手通过抽签分为3组，每组20人。</w:t>
      </w:r>
      <w:r>
        <w:rPr>
          <w:rFonts w:ascii="Times New Roman" w:hAnsi="Times New Roman"/>
        </w:rPr>
        <w:t>决</w:t>
      </w:r>
      <w:r>
        <w:rPr>
          <w:rFonts w:hint="eastAsia" w:ascii="Times New Roman" w:hAnsi="Times New Roman"/>
          <w:szCs w:val="32"/>
        </w:rPr>
        <w:t>赛赛场及</w:t>
      </w:r>
      <w:r>
        <w:rPr>
          <w:rFonts w:ascii="Times New Roman" w:hAnsi="Times New Roman"/>
        </w:rPr>
        <w:t>工位图</w:t>
      </w:r>
      <w:r>
        <w:rPr>
          <w:rFonts w:hint="eastAsia" w:ascii="Times New Roman" w:hAnsi="Times New Roman"/>
        </w:rPr>
        <w:t>布置如图2所示。</w:t>
      </w:r>
    </w:p>
    <w:p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240" w:lineRule="auto"/>
        <w:ind w:firstLine="0" w:firstLineChars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5626100" cy="2695575"/>
            <wp:effectExtent l="0" t="0" r="12700" b="190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9847" cy="274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240" w:lineRule="auto"/>
        <w:ind w:firstLine="0" w:firstLineChars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5659755" cy="2402205"/>
            <wp:effectExtent l="0" t="0" r="9525" b="571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4557" cy="242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drawing>
          <wp:inline distT="0" distB="0" distL="114300" distR="114300">
            <wp:extent cx="5568950" cy="3550285"/>
            <wp:effectExtent l="0" t="0" r="8890" b="63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0155" cy="35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240" w:lineRule="auto"/>
        <w:ind w:firstLine="0" w:firstLineChars="0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图2 </w:t>
      </w:r>
      <w:r>
        <w:rPr>
          <w:rFonts w:ascii="Times New Roman" w:hAnsi="Times New Roman"/>
        </w:rPr>
        <w:t>决</w:t>
      </w:r>
      <w:r>
        <w:rPr>
          <w:rFonts w:hint="eastAsia" w:ascii="Times New Roman" w:hAnsi="Times New Roman"/>
          <w:szCs w:val="32"/>
        </w:rPr>
        <w:t>赛赛场及</w:t>
      </w:r>
      <w:r>
        <w:rPr>
          <w:rFonts w:ascii="Times New Roman" w:hAnsi="Times New Roman"/>
        </w:rPr>
        <w:t>工位图</w:t>
      </w:r>
      <w:r>
        <w:rPr>
          <w:rFonts w:hint="eastAsia" w:ascii="Times New Roman" w:hAnsi="Times New Roman"/>
        </w:rPr>
        <w:t>布置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（二）竞赛设备</w:t>
      </w:r>
    </w:p>
    <w:p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240" w:lineRule="auto"/>
        <w:ind w:firstLine="680"/>
        <w:rPr>
          <w:rFonts w:ascii="Times New Roman" w:hAnsi="Times New Roman"/>
        </w:rPr>
      </w:pPr>
      <w:r>
        <w:rPr>
          <w:rFonts w:ascii="Times New Roman" w:hAnsi="Times New Roman"/>
        </w:rPr>
        <w:t>1.初赛竞赛设备清单（每名参赛选手）</w:t>
      </w:r>
    </w:p>
    <w:tbl>
      <w:tblPr>
        <w:tblStyle w:val="1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770"/>
        <w:gridCol w:w="2826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pc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序号</w:t>
            </w:r>
          </w:p>
        </w:tc>
        <w:tc>
          <w:tcPr>
            <w:tcW w:w="1528" w:type="pc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名称</w:t>
            </w:r>
          </w:p>
        </w:tc>
        <w:tc>
          <w:tcPr>
            <w:tcW w:w="1559" w:type="pc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数量</w:t>
            </w:r>
          </w:p>
        </w:tc>
        <w:tc>
          <w:tcPr>
            <w:tcW w:w="1203" w:type="pc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7" w:type="pc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ascii="Times New Roman" w:hAnsi="Times New Roman"/>
                <w:sz w:val="28"/>
                <w:szCs w:val="21"/>
              </w:rPr>
              <w:t>1</w:t>
            </w:r>
          </w:p>
        </w:tc>
        <w:tc>
          <w:tcPr>
            <w:tcW w:w="1528" w:type="pc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240" w:lineRule="auto"/>
              <w:ind w:firstLine="0" w:firstLineChars="0"/>
              <w:jc w:val="center"/>
              <w:rPr>
                <w:rFonts w:ascii="Times New Roman" w:hAnsi="Times New Roman"/>
                <w:sz w:val="28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1"/>
              </w:rPr>
              <w:t>笔记本电脑</w:t>
            </w:r>
          </w:p>
        </w:tc>
        <w:tc>
          <w:tcPr>
            <w:tcW w:w="1559" w:type="pc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240" w:lineRule="auto"/>
              <w:ind w:firstLine="0" w:firstLineChars="0"/>
              <w:jc w:val="center"/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1"/>
              </w:rPr>
              <w:t>1</w:t>
            </w:r>
            <w:r>
              <w:rPr>
                <w:rFonts w:hint="eastAsia" w:ascii="Times New Roman"/>
                <w:sz w:val="28"/>
                <w:szCs w:val="21"/>
                <w:lang w:val="en-US" w:eastAsia="zh-CN"/>
              </w:rPr>
              <w:t>台</w:t>
            </w:r>
          </w:p>
        </w:tc>
        <w:tc>
          <w:tcPr>
            <w:tcW w:w="1203" w:type="pc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line="240" w:lineRule="auto"/>
              <w:ind w:firstLine="600"/>
              <w:rPr>
                <w:rFonts w:ascii="Times New Roman" w:hAnsi="Times New Roman"/>
                <w:sz w:val="28"/>
                <w:szCs w:val="21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240" w:lineRule="auto"/>
        <w:ind w:firstLine="680"/>
        <w:rPr>
          <w:rFonts w:ascii="Times New Roman" w:hAnsi="Times New Roman"/>
        </w:rPr>
      </w:pPr>
      <w:r>
        <w:rPr>
          <w:rFonts w:ascii="Times New Roman" w:hAnsi="Times New Roman"/>
        </w:rPr>
        <w:t>2.决赛竞赛设备清单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80" w:firstLineChars="200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项目一配备智能机械手实训设备（如图3所示）、项目二配备过程控制及配方实训设备（如图4所示）、项目三配备三轴伺服加工及激光测距检测实训设备（如图5所示），其主要设备配置清单如表1、表2所示。赛场提供多种型号PLC和变频器的控制设备可供选择，参赛选手根据初赛成绩高低排名依序拥有优先选择权。如某种控制设备被选完，</w:t>
      </w:r>
      <w:r>
        <w:rPr>
          <w:rFonts w:ascii="Times New Roman" w:hAnsi="Times New Roman" w:cs="仿宋_GB2312"/>
          <w:szCs w:val="32"/>
        </w:rPr>
        <w:t>选手</w:t>
      </w:r>
      <w:r>
        <w:rPr>
          <w:rFonts w:hint="eastAsia" w:ascii="Times New Roman" w:hAnsi="Times New Roman" w:cs="仿宋_GB2312"/>
          <w:szCs w:val="32"/>
        </w:rPr>
        <w:t>可以</w:t>
      </w:r>
      <w:r>
        <w:rPr>
          <w:rFonts w:ascii="Times New Roman" w:hAnsi="Times New Roman" w:cs="仿宋_GB2312"/>
          <w:szCs w:val="32"/>
        </w:rPr>
        <w:t>自带设备（注：决赛前</w:t>
      </w:r>
      <w:r>
        <w:rPr>
          <w:rFonts w:hint="eastAsia" w:cs="仿宋_GB2312"/>
          <w:szCs w:val="32"/>
          <w:lang w:eastAsia="zh-CN"/>
        </w:rPr>
        <w:t>需</w:t>
      </w:r>
      <w:r>
        <w:rPr>
          <w:rFonts w:ascii="Times New Roman" w:hAnsi="Times New Roman" w:cs="仿宋_GB2312"/>
          <w:szCs w:val="32"/>
        </w:rPr>
        <w:t>交技术组确认程序已删除）或</w:t>
      </w:r>
      <w:r>
        <w:rPr>
          <w:rFonts w:hint="eastAsia" w:ascii="Times New Roman" w:hAnsi="Times New Roman" w:cs="仿宋_GB2312"/>
          <w:szCs w:val="32"/>
        </w:rPr>
        <w:t>从剩余的控制设备中选择。控制设备的选择在决赛赛前培训时进行选择和登记，决赛时按此提供控制设备，不能随意更改。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 w:eastAsia="仿宋"/>
          <w:spacing w:val="-6"/>
          <w:sz w:val="28"/>
          <w:szCs w:val="28"/>
        </w:rPr>
        <w:drawing>
          <wp:inline distT="0" distB="0" distL="114300" distR="114300">
            <wp:extent cx="3159125" cy="2339975"/>
            <wp:effectExtent l="0" t="0" r="10795" b="6985"/>
            <wp:docPr id="5" name="图片 1" descr="智能机械手实训设备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智能机械手实训设备8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图3 智能机械手实训设备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drawing>
          <wp:inline distT="0" distB="0" distL="114300" distR="114300">
            <wp:extent cx="3082290" cy="2339975"/>
            <wp:effectExtent l="0" t="0" r="11430" b="698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8229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图4 过程控制及配方实训设备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3111500" cy="2339975"/>
            <wp:effectExtent l="0" t="0" r="1270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图5 三轴伺服加工及激光测距检测实训设备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表1 主要设备配置清单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950"/>
        <w:gridCol w:w="5110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序号</w:t>
            </w:r>
          </w:p>
        </w:tc>
        <w:tc>
          <w:tcPr>
            <w:tcW w:w="1076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系统名称</w:t>
            </w:r>
          </w:p>
        </w:tc>
        <w:tc>
          <w:tcPr>
            <w:tcW w:w="2820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主要设备名称</w:t>
            </w:r>
          </w:p>
        </w:tc>
        <w:tc>
          <w:tcPr>
            <w:tcW w:w="589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076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智能机械手实训设备</w:t>
            </w:r>
          </w:p>
        </w:tc>
        <w:tc>
          <w:tcPr>
            <w:tcW w:w="2820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0" w:firstLineChars="0"/>
              <w:jc w:val="left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智能机械手平台、步进电机、直流电机、威伦MT8102ip、通信连接线等。</w:t>
            </w:r>
          </w:p>
        </w:tc>
        <w:tc>
          <w:tcPr>
            <w:tcW w:w="589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22套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0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过程控制及配方实训设备</w:t>
            </w:r>
          </w:p>
        </w:tc>
        <w:tc>
          <w:tcPr>
            <w:tcW w:w="28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过程控制及配方实训平台、变频器D700、变频器M420、三菱GOT-1000、通信连接线等。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22套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0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三轴伺服加工及激光测距检测实训设备</w:t>
            </w:r>
          </w:p>
        </w:tc>
        <w:tc>
          <w:tcPr>
            <w:tcW w:w="28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三轴伺服加工及激光测距检测实训平台、变频器D700、变频器M420、MR-J2S-20A伺服控制系统、威伦TK6070ih触摸屏、通信连接线等。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22套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0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台式电脑</w:t>
            </w:r>
          </w:p>
        </w:tc>
        <w:tc>
          <w:tcPr>
            <w:tcW w:w="28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1.操作系统：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2.PLC编程软件：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STEP7 V5.5 SP4 、STEP 7-micro/WIN V4.0 SP6、Portal V16、GX works 2、GX developer、Vladder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3. 触摸屏组态软件：GT Designer3、EBproV6.08.02.401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4.其它软件：PDF文件阅读器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66套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cs="仿宋_GB2312"/>
          <w:szCs w:val="32"/>
        </w:rPr>
      </w:pPr>
      <w:r>
        <w:rPr>
          <w:rFonts w:hint="eastAsia" w:ascii="Times New Roman" w:hAnsi="Times New Roman" w:cs="仿宋_GB2312"/>
          <w:szCs w:val="32"/>
        </w:rPr>
        <w:t>表2 控制设备清单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897"/>
        <w:gridCol w:w="5119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序号</w:t>
            </w:r>
          </w:p>
        </w:tc>
        <w:tc>
          <w:tcPr>
            <w:tcW w:w="10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名称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主要设备名称</w:t>
            </w: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04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三菱控制器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FX3U-64MT/ES-A</w:t>
            </w: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22套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4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FX3U-64MT/ES-A、FX2N-5A</w:t>
            </w: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22套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4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Q02 CPU、QX40、QY10、Q64AD、Q62DAN、QJ71E71-100</w:t>
            </w: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22套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4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FX5U-64MT/ES、FX5-422-BD-GOT、FX5-4AD-PT-ADP、FX5-232-ADP、FX5-4AD、FX5-4DA</w:t>
            </w: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13套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04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西门子控制器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S7-200、EM223、EM235</w:t>
            </w: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30套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4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CPU 313C-2DP、SM321、SM322、SM331、SM332</w:t>
            </w: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22套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4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S7-1200、SM1234、SM1231、SM1231 、RS232、RS485</w:t>
            </w: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22套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0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矩形控制器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N80-M44MAD-DC、E16D-GC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DI：16，DO:16，AI:6入，AO:6</w:t>
            </w: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22套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04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变频器</w:t>
            </w: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三菱D700</w:t>
            </w: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40套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4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西门子M440</w:t>
            </w: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22套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4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西门子M420</w:t>
            </w: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22套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五、竞赛细则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80" w:firstLineChars="200"/>
        <w:jc w:val="left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（一）理论知识竞赛守则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1.参赛证由竞赛执委会于竞赛开始前统一核发。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2.参赛选手需提前20分钟凭有效身份证和参赛证进入赛场，对号入座并将身份证和参赛证放在座位左上角明显位置，以备查验。迟到20分钟不得入场，开赛20分钟后方可交卷离场。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u w:color="000000"/>
        </w:rPr>
      </w:pPr>
      <w:bookmarkStart w:id="2" w:name="_Hlk518375175"/>
      <w:r>
        <w:rPr>
          <w:rFonts w:ascii="Times New Roman" w:hAnsi="Times New Roman"/>
          <w:u w:color="000000"/>
        </w:rPr>
        <w:t>3.参赛选手不</w:t>
      </w:r>
      <w:r>
        <w:rPr>
          <w:rFonts w:hint="eastAsia" w:ascii="Times New Roman" w:hAnsi="Times New Roman"/>
          <w:u w:color="000000"/>
        </w:rPr>
        <w:t>得</w:t>
      </w:r>
      <w:r>
        <w:rPr>
          <w:rFonts w:ascii="Times New Roman" w:hAnsi="Times New Roman"/>
          <w:u w:color="000000"/>
        </w:rPr>
        <w:t>携带与竞赛相关的文件资料、手机等通讯工具进入赛场。在赛场上应自觉遵守赛场秩序，保持安静，竞赛进行过程中不允许任何形式的交谈，不得大声喧哗吵闹，否则将给予警告直至取消竞赛资格</w:t>
      </w:r>
      <w:bookmarkEnd w:id="2"/>
      <w:r>
        <w:rPr>
          <w:rFonts w:ascii="Times New Roman" w:hAnsi="Times New Roman"/>
          <w:u w:color="000000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4.冒名顶替、弄虚作假、作弊者，</w:t>
      </w:r>
      <w:r>
        <w:rPr>
          <w:rFonts w:hint="eastAsia" w:ascii="Times New Roman" w:hAnsi="Times New Roman"/>
          <w:u w:color="000000"/>
        </w:rPr>
        <w:t>将被</w:t>
      </w:r>
      <w:r>
        <w:rPr>
          <w:rFonts w:ascii="Times New Roman" w:hAnsi="Times New Roman"/>
          <w:u w:color="000000"/>
        </w:rPr>
        <w:t>取消竞赛资格及成绩。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u w:color="000000"/>
        </w:rPr>
        <w:t>5.竞赛规定时间结束时，选手应</w:t>
      </w:r>
      <w:r>
        <w:rPr>
          <w:rFonts w:ascii="Times New Roman" w:hAnsi="Times New Roman"/>
          <w:szCs w:val="32"/>
        </w:rPr>
        <w:t>立即停止答题，有秩序的离开赛场。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（二）实际操作竞赛赛场守则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1.实际操作竞赛选手的出场顺序和实操工位由抽签决定。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2.参赛选手需提前10分钟凭有效身份证和参赛证进入赛场，对竞赛工具设备进行检查。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3.开赛迟到30分钟以上者，按自动弃权处理。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4.参赛选手按赛题</w:t>
      </w:r>
      <w:r>
        <w:rPr>
          <w:rFonts w:hint="eastAsia" w:ascii="Times New Roman" w:hAnsi="Times New Roman"/>
          <w:u w:color="000000"/>
        </w:rPr>
        <w:t>要求</w:t>
      </w:r>
      <w:r>
        <w:rPr>
          <w:rFonts w:ascii="Times New Roman" w:hAnsi="Times New Roman"/>
          <w:u w:color="000000"/>
        </w:rPr>
        <w:t>完成各竞赛项目，并主动配合</w:t>
      </w:r>
      <w:r>
        <w:rPr>
          <w:rFonts w:hint="eastAsia" w:ascii="Times New Roman" w:hAnsi="Times New Roman"/>
          <w:u w:color="000000"/>
        </w:rPr>
        <w:t>裁判员</w:t>
      </w:r>
      <w:r>
        <w:rPr>
          <w:rFonts w:ascii="Times New Roman" w:hAnsi="Times New Roman"/>
          <w:u w:color="000000"/>
        </w:rPr>
        <w:t>评分。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5.参赛选手应严格遵守赛场纪律，</w:t>
      </w:r>
      <w:r>
        <w:rPr>
          <w:rFonts w:hint="eastAsia" w:ascii="Times New Roman" w:hAnsi="Times New Roman"/>
          <w:u w:color="000000"/>
        </w:rPr>
        <w:t>不得携带</w:t>
      </w:r>
      <w:r>
        <w:rPr>
          <w:rFonts w:ascii="Times New Roman" w:hAnsi="Times New Roman"/>
          <w:u w:color="000000"/>
        </w:rPr>
        <w:t>通讯工具、摄像工具</w:t>
      </w:r>
      <w:r>
        <w:rPr>
          <w:rFonts w:hint="eastAsia" w:ascii="Times New Roman" w:hAnsi="Times New Roman"/>
          <w:u w:color="000000"/>
        </w:rPr>
        <w:t>进</w:t>
      </w:r>
      <w:r>
        <w:rPr>
          <w:rFonts w:ascii="Times New Roman" w:hAnsi="Times New Roman"/>
          <w:u w:color="000000"/>
        </w:rPr>
        <w:t>入竞赛现场，爱护竞赛设施设备，防止丢失和损坏。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6.冒名顶替、弄虚作假、作弊者，</w:t>
      </w:r>
      <w:r>
        <w:rPr>
          <w:rFonts w:hint="eastAsia" w:ascii="Times New Roman" w:hAnsi="Times New Roman"/>
          <w:u w:color="000000"/>
        </w:rPr>
        <w:t>将被</w:t>
      </w:r>
      <w:r>
        <w:rPr>
          <w:rFonts w:ascii="Times New Roman" w:hAnsi="Times New Roman"/>
          <w:u w:color="000000"/>
        </w:rPr>
        <w:t>取消竞赛资格及成绩。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7.参赛选手须严格遵守安全操作规程及劳动保护要求，接受</w:t>
      </w:r>
      <w:r>
        <w:rPr>
          <w:rFonts w:hint="eastAsia" w:ascii="Times New Roman" w:hAnsi="Times New Roman"/>
          <w:u w:color="000000"/>
        </w:rPr>
        <w:t>裁判员</w:t>
      </w:r>
      <w:r>
        <w:rPr>
          <w:rFonts w:ascii="Times New Roman" w:hAnsi="Times New Roman"/>
          <w:u w:color="000000"/>
        </w:rPr>
        <w:t>、现场技术服务人员的监督和警示，确保</w:t>
      </w:r>
      <w:r>
        <w:rPr>
          <w:rFonts w:hint="eastAsia" w:ascii="Times New Roman" w:hAnsi="Times New Roman"/>
          <w:u w:color="000000"/>
        </w:rPr>
        <w:t>人身</w:t>
      </w:r>
      <w:r>
        <w:rPr>
          <w:rFonts w:ascii="Times New Roman" w:hAnsi="Times New Roman"/>
          <w:u w:color="000000"/>
        </w:rPr>
        <w:t>及设备安全。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8.在实际操作竞赛过程中，</w:t>
      </w:r>
      <w:r>
        <w:rPr>
          <w:rFonts w:hint="eastAsia" w:ascii="Times New Roman" w:hAnsi="Times New Roman"/>
          <w:u w:color="000000"/>
        </w:rPr>
        <w:t>裁判员</w:t>
      </w:r>
      <w:r>
        <w:rPr>
          <w:rFonts w:ascii="Times New Roman" w:hAnsi="Times New Roman"/>
          <w:u w:color="000000"/>
        </w:rPr>
        <w:t>应对每名参赛选手的各道工序认真记录，并填写评分表。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9.比赛过程中如果出现安全事故，</w:t>
      </w:r>
      <w:r>
        <w:rPr>
          <w:rFonts w:hint="eastAsia" w:ascii="Times New Roman" w:hAnsi="Times New Roman"/>
          <w:u w:color="000000"/>
        </w:rPr>
        <w:t>裁判员</w:t>
      </w:r>
      <w:r>
        <w:rPr>
          <w:rFonts w:ascii="Times New Roman" w:hAnsi="Times New Roman"/>
          <w:u w:color="000000"/>
        </w:rPr>
        <w:t>应立即中止竞赛。如查实事故责任属参赛选手，</w:t>
      </w:r>
      <w:r>
        <w:rPr>
          <w:rFonts w:hint="eastAsia" w:ascii="Times New Roman" w:hAnsi="Times New Roman"/>
          <w:u w:color="000000"/>
        </w:rPr>
        <w:t>则</w:t>
      </w:r>
      <w:r>
        <w:rPr>
          <w:rFonts w:ascii="Times New Roman" w:hAnsi="Times New Roman"/>
          <w:u w:color="000000"/>
        </w:rPr>
        <w:t>取消参赛选手竞赛资格。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（三）赛场规则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1.各类赛务人员必须统一佩戴由竞赛执委会签发的相应证件，着装整齐。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2.各赛场除现场</w:t>
      </w:r>
      <w:r>
        <w:rPr>
          <w:rFonts w:hint="eastAsia" w:ascii="Times New Roman" w:hAnsi="Times New Roman"/>
          <w:u w:color="000000"/>
        </w:rPr>
        <w:t>裁判员</w:t>
      </w:r>
      <w:r>
        <w:rPr>
          <w:rFonts w:ascii="Times New Roman" w:hAnsi="Times New Roman"/>
          <w:u w:color="000000"/>
        </w:rPr>
        <w:t>、赛场配备的工作人员以外，其他人员未经允许不得进入赛场。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3.新闻媒体等进入赛场必须经过竞赛执委会允许，并且听从现场工作人员的安排和管理，不能影响竞赛进行。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4.各参赛队的领队、指导老师以及随行人员一律不得进入赛场。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5.参赛选手在竞赛期间未经竞赛执委会批准</w:t>
      </w:r>
      <w:r>
        <w:rPr>
          <w:rFonts w:hint="eastAsia" w:ascii="Times New Roman" w:hAnsi="Times New Roman"/>
          <w:u w:color="000000"/>
        </w:rPr>
        <w:t>，</w:t>
      </w:r>
      <w:r>
        <w:rPr>
          <w:rFonts w:ascii="Times New Roman" w:hAnsi="Times New Roman"/>
          <w:u w:color="000000"/>
        </w:rPr>
        <w:t>不得</w:t>
      </w:r>
      <w:r>
        <w:rPr>
          <w:rFonts w:hint="eastAsia" w:ascii="Times New Roman" w:hAnsi="Times New Roman"/>
          <w:u w:color="000000"/>
        </w:rPr>
        <w:t>私自接受</w:t>
      </w:r>
      <w:r>
        <w:rPr>
          <w:rFonts w:ascii="Times New Roman" w:hAnsi="Times New Roman"/>
          <w:u w:color="000000"/>
        </w:rPr>
        <w:t>与竞赛内容相关的采访。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6.参赛选手不得私自公布竞赛的相关资料。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7.参赛选手在竞赛过程中必须主动配合</w:t>
      </w:r>
      <w:r>
        <w:rPr>
          <w:rFonts w:hint="eastAsia" w:ascii="Times New Roman" w:hAnsi="Times New Roman"/>
          <w:u w:color="000000"/>
        </w:rPr>
        <w:t>裁判员</w:t>
      </w:r>
      <w:r>
        <w:rPr>
          <w:rFonts w:ascii="Times New Roman" w:hAnsi="Times New Roman"/>
          <w:u w:color="000000"/>
        </w:rPr>
        <w:t>的工作，服从</w:t>
      </w:r>
      <w:r>
        <w:rPr>
          <w:rFonts w:hint="eastAsia" w:ascii="Times New Roman" w:hAnsi="Times New Roman"/>
          <w:u w:color="000000"/>
        </w:rPr>
        <w:t>裁判员</w:t>
      </w:r>
      <w:r>
        <w:rPr>
          <w:rFonts w:ascii="Times New Roman" w:hAnsi="Times New Roman"/>
          <w:u w:color="000000"/>
        </w:rPr>
        <w:t>安排，如对竞赛的裁决有异议，可按照规定以书面形式向申诉受理组提出申诉。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（四）赛事安全要求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由于决赛实际操作竞赛涉及使用工具，决赛场地配有常规药</w:t>
      </w:r>
      <w:r>
        <w:rPr>
          <w:rFonts w:hint="eastAsia" w:ascii="Times New Roman" w:hAnsi="Times New Roman"/>
          <w:szCs w:val="32"/>
        </w:rPr>
        <w:t>，并</w:t>
      </w:r>
      <w:r>
        <w:rPr>
          <w:rFonts w:ascii="Times New Roman" w:hAnsi="Times New Roman"/>
          <w:szCs w:val="32"/>
        </w:rPr>
        <w:t>设有安全防卫人员，负责竞赛期间安全事务。主要包括检查竞赛场地及其周围环境的安全防卫；制定紧急应对方案；督导竞赛场地用电等相关安全问题；分析和处理安全突发事件等工作。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ind w:firstLine="680" w:firstLineChars="200"/>
        <w:jc w:val="left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六、其他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680" w:firstLineChars="200"/>
        <w:jc w:val="left"/>
        <w:rPr>
          <w:rFonts w:ascii="Times New Roman" w:hAnsi="Times New Roman"/>
          <w:spacing w:val="0"/>
        </w:rPr>
      </w:pPr>
      <w:r>
        <w:rPr>
          <w:rFonts w:ascii="Times New Roman" w:hAnsi="Times New Roman"/>
          <w:u w:color="000000"/>
        </w:rPr>
        <w:t>本技术方案条款的最终解释权归</w:t>
      </w:r>
      <w:r>
        <w:rPr>
          <w:rFonts w:hint="eastAsia" w:ascii="Times New Roman" w:hAnsi="Times New Roman"/>
          <w:u w:color="000000"/>
        </w:rPr>
        <w:t>深圳市第十四届职工技术创新运动会暨2024年深圳技能大赛</w:t>
      </w:r>
      <w:r>
        <w:rPr>
          <w:rFonts w:ascii="Times New Roman" w:hAnsi="Times New Roman"/>
          <w:u w:color="000000"/>
        </w:rPr>
        <w:t>——</w:t>
      </w:r>
      <w:r>
        <w:rPr>
          <w:rFonts w:hint="eastAsia" w:ascii="Times New Roman" w:hAnsi="Times New Roman"/>
          <w:u w:color="000000"/>
        </w:rPr>
        <w:t>可编程序控制系统设计师</w:t>
      </w:r>
      <w:r>
        <w:rPr>
          <w:rFonts w:ascii="Times New Roman" w:hAnsi="Times New Roman"/>
          <w:u w:color="000000"/>
        </w:rPr>
        <w:t>技能竞赛执行委员会所有。</w:t>
      </w:r>
    </w:p>
    <w:sectPr>
      <w:footerReference r:id="rId7" w:type="first"/>
      <w:footerReference r:id="rId5" w:type="default"/>
      <w:footerReference r:id="rId6" w:type="even"/>
      <w:pgSz w:w="11906" w:h="16838"/>
      <w:pgMar w:top="2041" w:right="1474" w:bottom="1474" w:left="1588" w:header="851" w:footer="850" w:gutter="0"/>
      <w:pgNumType w:fmt="decimal"/>
      <w:cols w:space="0" w:num="1"/>
      <w:titlePg/>
      <w:docGrid w:type="linesAndChars" w:linePitch="574" w:charSpace="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4DF43E-08F5-4AE0-B478-B416C25A05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09EF04C-86CE-4C0B-A28C-080A87D964C2}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A337E91-748C-43B6-B20B-45A1D79833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95D51E2-1163-41A0-8469-89CD477CA40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54F79706-553C-4AF3-B45E-BED9AD0C4F1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spacing w:line="420" w:lineRule="auto"/>
      <w:ind w:right="308" w:rightChars="100"/>
      <w:jc w:val="right"/>
      <w:rPr>
        <w:rFonts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wordWrap w:val="0"/>
                            <w:spacing w:line="420" w:lineRule="auto"/>
                            <w:ind w:right="308" w:rightChars="100"/>
                            <w:jc w:val="right"/>
                          </w:pPr>
                          <w:r>
                            <w:rPr>
                              <w:rStyle w:val="16"/>
                              <w:rFonts w:hint="eastAsia" w:ascii="宋体" w:hAnsi="宋体" w:eastAsia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hint="eastAsia" w:ascii="宋体" w:hAns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 w:eastAsia="宋体"/>
                              <w:sz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16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wordWrap w:val="0"/>
                      <w:spacing w:line="420" w:lineRule="auto"/>
                      <w:ind w:right="308" w:rightChars="100"/>
                      <w:jc w:val="right"/>
                    </w:pPr>
                    <w:r>
                      <w:rPr>
                        <w:rStyle w:val="16"/>
                        <w:rFonts w:hint="eastAsia" w:ascii="宋体" w:hAnsi="宋体" w:eastAsia="宋体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Style w:val="16"/>
                        <w:rFonts w:hint="eastAsia" w:ascii="宋体" w:hAnsi="宋体" w:eastAsia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 w:eastAsia="宋体"/>
                        <w:sz w:val="28"/>
                      </w:rPr>
                      <w:t>19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 xml:space="preserve"> </w:t>
                    </w:r>
                    <w:r>
                      <w:rPr>
                        <w:rStyle w:val="16"/>
                        <w:rFonts w:hint="eastAsia"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420" w:lineRule="auto"/>
      <w:ind w:left="308" w:leftChars="100"/>
      <w:rPr>
        <w:rStyle w:val="16"/>
        <w:rFonts w:ascii="宋体" w:hAnsi="宋体" w:eastAsia="宋体"/>
        <w:sz w:val="28"/>
      </w:rPr>
    </w:pPr>
    <w:r>
      <w:rPr>
        <w:rStyle w:val="1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1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6"/>
        <w:rFonts w:ascii="宋体" w:hAnsi="宋体" w:eastAsia="宋体"/>
        <w:sz w:val="28"/>
      </w:rPr>
      <w:t>6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16"/>
        <w:rFonts w:hint="eastAsia" w:ascii="宋体" w:hAnsi="宋体" w:eastAsia="宋体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spacing w:line="420" w:lineRule="auto"/>
      <w:ind w:right="308" w:rightChars="100"/>
      <w:jc w:val="right"/>
    </w:pPr>
    <w:r>
      <w:rPr>
        <w:rStyle w:val="1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1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6"/>
        <w:rFonts w:ascii="宋体" w:hAnsi="宋体" w:eastAsia="宋体"/>
        <w:sz w:val="28"/>
      </w:rPr>
      <w:t>19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16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3646FC"/>
    <w:multiLevelType w:val="singleLevel"/>
    <w:tmpl w:val="543646F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DNmZWU4NjQ4MTA3NzM2OGViMjMwMmM1ZTUxNmIifQ=="/>
  </w:docVars>
  <w:rsids>
    <w:rsidRoot w:val="00366784"/>
    <w:rsid w:val="00247343"/>
    <w:rsid w:val="00366784"/>
    <w:rsid w:val="007C7BB3"/>
    <w:rsid w:val="00832C13"/>
    <w:rsid w:val="009B5941"/>
    <w:rsid w:val="00AB7A64"/>
    <w:rsid w:val="00B06ACF"/>
    <w:rsid w:val="00BB2AFA"/>
    <w:rsid w:val="00BD5976"/>
    <w:rsid w:val="00C94BDE"/>
    <w:rsid w:val="00E15234"/>
    <w:rsid w:val="02551A35"/>
    <w:rsid w:val="043D6C25"/>
    <w:rsid w:val="04DD3F64"/>
    <w:rsid w:val="052D4FD4"/>
    <w:rsid w:val="0827223A"/>
    <w:rsid w:val="0B077D21"/>
    <w:rsid w:val="0B7A6534"/>
    <w:rsid w:val="0E6206F9"/>
    <w:rsid w:val="0F8E799E"/>
    <w:rsid w:val="0FF46D31"/>
    <w:rsid w:val="10FE14EA"/>
    <w:rsid w:val="130153E8"/>
    <w:rsid w:val="14425B91"/>
    <w:rsid w:val="15051099"/>
    <w:rsid w:val="155E2E9F"/>
    <w:rsid w:val="1A676352"/>
    <w:rsid w:val="1CE974F2"/>
    <w:rsid w:val="20210D51"/>
    <w:rsid w:val="205911D0"/>
    <w:rsid w:val="21083C35"/>
    <w:rsid w:val="212D50EE"/>
    <w:rsid w:val="251E4470"/>
    <w:rsid w:val="25DD4E4D"/>
    <w:rsid w:val="260211C0"/>
    <w:rsid w:val="26F251F5"/>
    <w:rsid w:val="27F11600"/>
    <w:rsid w:val="2982068B"/>
    <w:rsid w:val="2A445487"/>
    <w:rsid w:val="2B200B73"/>
    <w:rsid w:val="2B9049FE"/>
    <w:rsid w:val="2BA11C42"/>
    <w:rsid w:val="2C22032B"/>
    <w:rsid w:val="2D63556D"/>
    <w:rsid w:val="2EA92141"/>
    <w:rsid w:val="30A3518F"/>
    <w:rsid w:val="326939F2"/>
    <w:rsid w:val="32FD73FC"/>
    <w:rsid w:val="345D2848"/>
    <w:rsid w:val="367F1DD5"/>
    <w:rsid w:val="3731559A"/>
    <w:rsid w:val="38762007"/>
    <w:rsid w:val="394A4C3B"/>
    <w:rsid w:val="3A8E6349"/>
    <w:rsid w:val="3B1426EE"/>
    <w:rsid w:val="3C7D458E"/>
    <w:rsid w:val="3DCB25D0"/>
    <w:rsid w:val="3EC15781"/>
    <w:rsid w:val="3EFF1E4A"/>
    <w:rsid w:val="3F335242"/>
    <w:rsid w:val="3F602F82"/>
    <w:rsid w:val="42997D11"/>
    <w:rsid w:val="42BD69A1"/>
    <w:rsid w:val="43BD6E5F"/>
    <w:rsid w:val="44430F78"/>
    <w:rsid w:val="444A1C82"/>
    <w:rsid w:val="45BC4EF4"/>
    <w:rsid w:val="45D0216B"/>
    <w:rsid w:val="47555600"/>
    <w:rsid w:val="47B64B44"/>
    <w:rsid w:val="47E76B1C"/>
    <w:rsid w:val="48AE6D76"/>
    <w:rsid w:val="49CE0967"/>
    <w:rsid w:val="4A54658E"/>
    <w:rsid w:val="4A673681"/>
    <w:rsid w:val="4B045373"/>
    <w:rsid w:val="4B6E55E2"/>
    <w:rsid w:val="4C532B41"/>
    <w:rsid w:val="4D23049B"/>
    <w:rsid w:val="4D61055A"/>
    <w:rsid w:val="4F9F67AC"/>
    <w:rsid w:val="507408A5"/>
    <w:rsid w:val="52467785"/>
    <w:rsid w:val="53CD4534"/>
    <w:rsid w:val="54444A33"/>
    <w:rsid w:val="549F1ABB"/>
    <w:rsid w:val="55284354"/>
    <w:rsid w:val="552865AE"/>
    <w:rsid w:val="567E7367"/>
    <w:rsid w:val="56C84449"/>
    <w:rsid w:val="56EA1292"/>
    <w:rsid w:val="590D7AE9"/>
    <w:rsid w:val="5A1901A8"/>
    <w:rsid w:val="5B8172A8"/>
    <w:rsid w:val="5BD4765F"/>
    <w:rsid w:val="5C8C341B"/>
    <w:rsid w:val="5C9853FD"/>
    <w:rsid w:val="5EB662D8"/>
    <w:rsid w:val="5F2416E8"/>
    <w:rsid w:val="5F5F037F"/>
    <w:rsid w:val="5FAC164F"/>
    <w:rsid w:val="611759A9"/>
    <w:rsid w:val="61C30150"/>
    <w:rsid w:val="63657B3C"/>
    <w:rsid w:val="64852BF7"/>
    <w:rsid w:val="671D35ED"/>
    <w:rsid w:val="6A303D66"/>
    <w:rsid w:val="6A950AE5"/>
    <w:rsid w:val="6AF40B09"/>
    <w:rsid w:val="6BAC50BD"/>
    <w:rsid w:val="6C176920"/>
    <w:rsid w:val="6DFFAF4A"/>
    <w:rsid w:val="6E934818"/>
    <w:rsid w:val="6ECD7811"/>
    <w:rsid w:val="6FEA4288"/>
    <w:rsid w:val="71791A05"/>
    <w:rsid w:val="73823DDE"/>
    <w:rsid w:val="74E572AB"/>
    <w:rsid w:val="75EA4FE2"/>
    <w:rsid w:val="75F2472E"/>
    <w:rsid w:val="762C22D4"/>
    <w:rsid w:val="76E71522"/>
    <w:rsid w:val="77FADA0B"/>
    <w:rsid w:val="78232A2D"/>
    <w:rsid w:val="79A32E9B"/>
    <w:rsid w:val="79E47F9A"/>
    <w:rsid w:val="7A772EBC"/>
    <w:rsid w:val="7AD93877"/>
    <w:rsid w:val="7C9C2C3F"/>
    <w:rsid w:val="7E283C13"/>
    <w:rsid w:val="7E4B4712"/>
    <w:rsid w:val="7E9F26E2"/>
    <w:rsid w:val="7ED1554B"/>
    <w:rsid w:val="7FF70C58"/>
    <w:rsid w:val="A9F64411"/>
    <w:rsid w:val="ABDBB865"/>
    <w:rsid w:val="B71CDE40"/>
    <w:rsid w:val="EA145693"/>
    <w:rsid w:val="FC3C79A0"/>
    <w:rsid w:val="FD35E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annotation text"/>
    <w:basedOn w:val="1"/>
    <w:link w:val="26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99"/>
    <w:pPr>
      <w:spacing w:after="120"/>
    </w:pPr>
  </w:style>
  <w:style w:type="paragraph" w:styleId="7">
    <w:name w:val="Plain Text"/>
    <w:basedOn w:val="1"/>
    <w:qFormat/>
    <w:uiPriority w:val="0"/>
    <w:pPr>
      <w:spacing w:line="240" w:lineRule="auto"/>
    </w:pPr>
    <w:rPr>
      <w:rFonts w:ascii="宋体" w:hAnsi="Courier New" w:eastAsia="宋体"/>
      <w:spacing w:val="0"/>
      <w:sz w:val="21"/>
      <w:szCs w:val="21"/>
    </w:rPr>
  </w:style>
  <w:style w:type="paragraph" w:styleId="8">
    <w:name w:val="Balloon Text"/>
    <w:basedOn w:val="1"/>
    <w:link w:val="27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next w:val="4"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10">
    <w:name w:val="head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"/>
    <w:basedOn w:val="6"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3">
    <w:name w:val="Table Grid"/>
    <w:basedOn w:val="12"/>
    <w:qFormat/>
    <w:uiPriority w:val="0"/>
    <w:pPr>
      <w:widowControl w:val="0"/>
      <w:spacing w:line="240" w:lineRule="atLeast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basedOn w:val="14"/>
    <w:qFormat/>
    <w:uiPriority w:val="0"/>
    <w:rPr>
      <w:i/>
    </w:rPr>
  </w:style>
  <w:style w:type="character" w:styleId="18">
    <w:name w:val="Hyperlink"/>
    <w:basedOn w:val="14"/>
    <w:qFormat/>
    <w:uiPriority w:val="0"/>
    <w:rPr>
      <w:color w:val="0000FF"/>
      <w:u w:val="singl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h11"/>
    <w:qFormat/>
    <w:uiPriority w:val="0"/>
    <w:rPr>
      <w:rFonts w:hint="default"/>
      <w:color w:val="000000"/>
      <w:sz w:val="21"/>
      <w:szCs w:val="21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BodyText1I2"/>
    <w:next w:val="1"/>
    <w:qFormat/>
    <w:uiPriority w:val="0"/>
    <w:pPr>
      <w:widowControl w:val="0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customStyle="1" w:styleId="23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24">
    <w:name w:val="列出段落1"/>
    <w:basedOn w:val="1"/>
    <w:qFormat/>
    <w:uiPriority w:val="0"/>
    <w:pPr>
      <w:spacing w:line="240" w:lineRule="auto"/>
      <w:ind w:firstLine="200" w:firstLineChars="200"/>
    </w:pPr>
    <w:rPr>
      <w:rFonts w:eastAsia="宋体"/>
      <w:spacing w:val="0"/>
      <w:sz w:val="21"/>
      <w:szCs w:val="21"/>
    </w:rPr>
  </w:style>
  <w:style w:type="character" w:customStyle="1" w:styleId="25">
    <w:name w:val="页眉 字符"/>
    <w:basedOn w:val="14"/>
    <w:link w:val="10"/>
    <w:qFormat/>
    <w:uiPriority w:val="0"/>
    <w:rPr>
      <w:rFonts w:ascii="Times New Roman" w:hAnsi="Times New Roman" w:eastAsia="仿宋_GB2312" w:cs="Times New Roman"/>
      <w:spacing w:val="-6"/>
      <w:kern w:val="2"/>
      <w:sz w:val="18"/>
      <w:szCs w:val="18"/>
    </w:rPr>
  </w:style>
  <w:style w:type="character" w:customStyle="1" w:styleId="26">
    <w:name w:val="批注文字 字符"/>
    <w:basedOn w:val="14"/>
    <w:link w:val="5"/>
    <w:qFormat/>
    <w:uiPriority w:val="0"/>
    <w:rPr>
      <w:rFonts w:ascii="Times New Roman" w:hAnsi="Times New Roman" w:eastAsia="仿宋_GB2312" w:cs="Times New Roman"/>
      <w:spacing w:val="-6"/>
      <w:kern w:val="2"/>
      <w:sz w:val="32"/>
    </w:rPr>
  </w:style>
  <w:style w:type="character" w:customStyle="1" w:styleId="27">
    <w:name w:val="批注框文本 字符"/>
    <w:basedOn w:val="14"/>
    <w:link w:val="8"/>
    <w:qFormat/>
    <w:uiPriority w:val="0"/>
    <w:rPr>
      <w:rFonts w:ascii="Times New Roman" w:hAnsi="Times New Roman" w:eastAsia="仿宋_GB2312" w:cs="Times New Roman"/>
      <w:spacing w:val="-6"/>
      <w:kern w:val="2"/>
      <w:sz w:val="18"/>
      <w:szCs w:val="18"/>
    </w:rPr>
  </w:style>
  <w:style w:type="paragraph" w:customStyle="1" w:styleId="28">
    <w:name w:val="修订1"/>
    <w:qFormat/>
    <w:uiPriority w:val="99"/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customStyle="1" w:styleId="29">
    <w:name w:val="修订2"/>
    <w:qFormat/>
    <w:uiPriority w:val="99"/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table" w:customStyle="1" w:styleId="30">
    <w:name w:val="Table Normal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23</Pages>
  <Words>7583</Words>
  <Characters>8317</Characters>
  <Lines>63</Lines>
  <Paragraphs>17</Paragraphs>
  <TotalTime>0</TotalTime>
  <ScaleCrop>false</ScaleCrop>
  <LinksUpToDate>false</LinksUpToDate>
  <CharactersWithSpaces>8404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2023-09-28T02:18:00Z</dcterms:created>
  <dc:creator>xb21cn</dc:creator>
  <cp:lastModifiedBy>小可爱</cp:lastModifiedBy>
  <cp:lastPrinted>2023-07-04T22:41:00Z</cp:lastPrinted>
  <dcterms:modified xsi:type="dcterms:W3CDTF">2024-08-16T13:00:02Z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7950270CEA3E4A97AF77640BD8215413_13</vt:lpwstr>
  </property>
</Properties>
</file>